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FF" w:rsidRPr="006720FF" w:rsidRDefault="000C5B3F" w:rsidP="000C5B3F">
      <w:pPr>
        <w:shd w:val="clear" w:color="auto" w:fill="FFFFFF"/>
        <w:spacing w:before="150" w:after="150" w:line="240" w:lineRule="auto"/>
        <w:jc w:val="center"/>
        <w:outlineLvl w:val="3"/>
        <w:rPr>
          <w:rFonts w:eastAsia="Times New Roman" w:cs="Times New Roman"/>
          <w:color w:val="333333"/>
          <w:sz w:val="27"/>
          <w:szCs w:val="27"/>
          <w:lang w:eastAsia="ru-RU"/>
        </w:rPr>
      </w:pPr>
      <w:r w:rsidRPr="008B14D0"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  <w:t xml:space="preserve">Отчет о проведенных мероприятиях </w:t>
      </w:r>
      <w:r w:rsidR="006720FF" w:rsidRPr="008B14D0"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  <w:t xml:space="preserve"> по результатам независимой оценки качества образовательной деятельности образовательных организаций, осуществляющих образовательную деятельность на территории Ханты-Мансийского автономного округа – Югры</w:t>
      </w:r>
    </w:p>
    <w:p w:rsidR="006720FF" w:rsidRPr="006720FF" w:rsidRDefault="006720FF" w:rsidP="000C5B3F">
      <w:pPr>
        <w:shd w:val="clear" w:color="auto" w:fill="FFFFFF"/>
        <w:spacing w:before="150" w:after="150" w:line="240" w:lineRule="auto"/>
        <w:jc w:val="center"/>
        <w:outlineLvl w:val="3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8B14D0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БЮДЖЕТНО</w:t>
      </w:r>
      <w:r w:rsidR="000C5B3F" w:rsidRPr="008B14D0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ГО </w:t>
      </w:r>
      <w:r w:rsidRPr="008B14D0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 ПРОФЕССИОНАЛЬНО</w:t>
      </w:r>
      <w:r w:rsidR="000C5B3F" w:rsidRPr="008B14D0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ГО </w:t>
      </w:r>
      <w:r w:rsidRPr="008B14D0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ОБРАЗОВАТЕЛЬНО</w:t>
      </w:r>
      <w:r w:rsidR="000C5B3F" w:rsidRPr="008B14D0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ГО </w:t>
      </w:r>
      <w:r w:rsidRPr="008B14D0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 УЧРЕЖДЕНИ</w:t>
      </w:r>
      <w:r w:rsidR="000C5B3F" w:rsidRPr="008B14D0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Pr="008B14D0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 ХАНТЫ-МАНСИЙСКОГО АВТОНОМНОГО ОКРУГА - ЮГРЫ "СУРГУТСКИЙ МУЗЫКАЛЬНЫЙ КОЛЛЕДЖ":</w:t>
      </w:r>
    </w:p>
    <w:p w:rsidR="000C5B3F" w:rsidRPr="008B14D0" w:rsidRDefault="000C5B3F" w:rsidP="006720F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039"/>
        <w:gridCol w:w="1799"/>
        <w:gridCol w:w="1978"/>
        <w:gridCol w:w="6916"/>
      </w:tblGrid>
      <w:tr w:rsidR="000C5B3F" w:rsidRPr="008B14D0" w:rsidTr="008B14D0">
        <w:tc>
          <w:tcPr>
            <w:tcW w:w="2464" w:type="dxa"/>
          </w:tcPr>
          <w:p w:rsidR="000C5B3F" w:rsidRPr="008B14D0" w:rsidRDefault="000C5B3F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64" w:type="dxa"/>
          </w:tcPr>
          <w:p w:rsidR="000C5B3F" w:rsidRPr="008B14D0" w:rsidRDefault="000C5B3F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Основание реализации</w:t>
            </w:r>
          </w:p>
        </w:tc>
        <w:tc>
          <w:tcPr>
            <w:tcW w:w="2464" w:type="dxa"/>
          </w:tcPr>
          <w:p w:rsidR="000C5B3F" w:rsidRPr="008B14D0" w:rsidRDefault="000C5B3F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464" w:type="dxa"/>
          </w:tcPr>
          <w:p w:rsidR="000C5B3F" w:rsidRPr="008B14D0" w:rsidRDefault="000C5B3F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Ответственный </w:t>
            </w:r>
          </w:p>
        </w:tc>
        <w:tc>
          <w:tcPr>
            <w:tcW w:w="4853" w:type="dxa"/>
          </w:tcPr>
          <w:p w:rsidR="000C5B3F" w:rsidRPr="008B14D0" w:rsidRDefault="000C5B3F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0C5B3F" w:rsidRPr="008B14D0" w:rsidTr="008B14D0">
        <w:tc>
          <w:tcPr>
            <w:tcW w:w="2464" w:type="dxa"/>
          </w:tcPr>
          <w:p w:rsidR="000C5B3F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Обеспечение условий </w:t>
            </w:r>
            <w:r w:rsidRPr="006720F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 обучению и воспитанию обучающихся с ограниченными возможностями здоровья и инвалидов</w:t>
            </w:r>
          </w:p>
        </w:tc>
        <w:tc>
          <w:tcPr>
            <w:tcW w:w="2464" w:type="dxa"/>
          </w:tcPr>
          <w:p w:rsidR="000C5B3F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Результат независимой оценки качества образовательной деятельности</w:t>
            </w:r>
          </w:p>
        </w:tc>
        <w:tc>
          <w:tcPr>
            <w:tcW w:w="2464" w:type="dxa"/>
          </w:tcPr>
          <w:p w:rsidR="000C5B3F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 25.12.2018 г.</w:t>
            </w:r>
          </w:p>
        </w:tc>
        <w:tc>
          <w:tcPr>
            <w:tcW w:w="2464" w:type="dxa"/>
          </w:tcPr>
          <w:p w:rsidR="000C5B3F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Мозохин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853" w:type="dxa"/>
          </w:tcPr>
          <w:p w:rsidR="00D65E72" w:rsidRP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Образовательный процесс осуществляется в здании колледжа, находящемся по </w:t>
            </w: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Энтузиастов д.28.</w:t>
            </w:r>
          </w:p>
          <w:p w:rsidR="00D65E72" w:rsidRP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Библиотека колледжа оборудована рабочими столами с изменяемой высотой</w:t>
            </w:r>
          </w:p>
          <w:p w:rsidR="00D65E72" w:rsidRP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столешниц, </w:t>
            </w:r>
            <w:proofErr w:type="gramStart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ручными</w:t>
            </w:r>
            <w:proofErr w:type="gramEnd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видеоувеличителями</w:t>
            </w:r>
            <w:proofErr w:type="spellEnd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, портативной индукционной системой.</w:t>
            </w:r>
          </w:p>
          <w:p w:rsidR="00D65E72" w:rsidRP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Аудитория №107 оборудована столом с изменяемой высотой столешницы.</w:t>
            </w:r>
          </w:p>
          <w:p w:rsidR="00D65E72" w:rsidRP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Органный зал оборудован индукционной системой.</w:t>
            </w:r>
          </w:p>
          <w:p w:rsidR="00D65E72" w:rsidRP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Имеются в наличии портативная индукционная система и </w:t>
            </w:r>
            <w:proofErr w:type="gramStart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портативный</w:t>
            </w:r>
            <w:proofErr w:type="gramEnd"/>
          </w:p>
          <w:p w:rsid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медиапроектор</w:t>
            </w:r>
            <w:proofErr w:type="spellEnd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которые</w:t>
            </w:r>
            <w:proofErr w:type="gramEnd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выдаются преподавателям в любую аудиторию колледжа.</w:t>
            </w:r>
          </w:p>
          <w:p w:rsidR="000C5B3F" w:rsidRPr="008B14D0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865C3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http://surgutmusic.ru/upload/iblock/b45/b45e8e8cc2a726d5f6390826ffd568a2.pdf</w:t>
              </w:r>
            </w:hyperlink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14D0" w:rsidRPr="008B14D0" w:rsidTr="008B14D0">
        <w:tc>
          <w:tcPr>
            <w:tcW w:w="2464" w:type="dxa"/>
          </w:tcPr>
          <w:p w:rsidR="008B14D0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Обеспечение </w:t>
            </w:r>
            <w:r w:rsidRPr="006720F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условий для охраны и укрепления здоровья, организации питания обучающихся</w:t>
            </w:r>
          </w:p>
        </w:tc>
        <w:tc>
          <w:tcPr>
            <w:tcW w:w="2464" w:type="dxa"/>
          </w:tcPr>
          <w:p w:rsidR="008B14D0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Результат независимой оценки качества образовательной деятельности</w:t>
            </w:r>
          </w:p>
        </w:tc>
        <w:tc>
          <w:tcPr>
            <w:tcW w:w="2464" w:type="dxa"/>
          </w:tcPr>
          <w:p w:rsidR="008B14D0" w:rsidRDefault="008B14D0">
            <w:r w:rsidRPr="00F15AEE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 25.12.2018 г.</w:t>
            </w:r>
          </w:p>
        </w:tc>
        <w:tc>
          <w:tcPr>
            <w:tcW w:w="2464" w:type="dxa"/>
          </w:tcPr>
          <w:p w:rsidR="008B14D0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Мозохин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853" w:type="dxa"/>
          </w:tcPr>
          <w:p w:rsidR="008B14D0" w:rsidRDefault="00D65E72" w:rsidP="00D65E72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 здании БУ «</w:t>
            </w:r>
            <w:proofErr w:type="spellStart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музыкальный колледж» имеется буфет на 28 посадочных мест. У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становлен стол с изменяемой </w:t>
            </w: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высотой столешницы. Помещение для мытья рук полно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стью оборудовано для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инвалидов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proofErr w:type="gramEnd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уфет</w:t>
            </w:r>
            <w:proofErr w:type="spellEnd"/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обеспечен исправным торгово-технологическим и холодильным обо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рудованием. Имеется портативная </w:t>
            </w: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индукционная система. Организация горячего питания обеспечивается _ ИП Виноградовой На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тальей Петровной, договор № 116</w:t>
            </w: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от 21.07.2017 года.</w:t>
            </w:r>
          </w:p>
          <w:p w:rsidR="00D65E72" w:rsidRDefault="00D65E72" w:rsidP="00D65E72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Pr="00865C3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http://surgutmusic.ru/upload/iblock/50d/50d3968813a2ec6756c12c982920d355.pdf</w:t>
              </w:r>
            </w:hyperlink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D65E72" w:rsidRP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 колледже созданы все необходимые условия для реализации гражданами</w:t>
            </w:r>
          </w:p>
          <w:p w:rsidR="00D65E72" w:rsidRP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Российской Федерации гарантированного государством права на получение</w:t>
            </w:r>
          </w:p>
          <w:p w:rsidR="00D65E72" w:rsidRP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образования, оказание квалифицированной медицинской помощи, оказание</w:t>
            </w:r>
          </w:p>
          <w:p w:rsidR="00D65E72" w:rsidRDefault="00D65E72" w:rsidP="00D65E72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D65E7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психологической помощи.</w:t>
            </w:r>
          </w:p>
          <w:p w:rsidR="00D65E72" w:rsidRPr="008B14D0" w:rsidRDefault="00D65E72" w:rsidP="00D65E72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Pr="00865C3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http://surgutmusic.ru/upload/iblock/287/28729fb0332a35ab4e38497cc6617ede.pdf</w:t>
              </w:r>
            </w:hyperlink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14D0" w:rsidRPr="008B14D0" w:rsidTr="008B14D0">
        <w:tc>
          <w:tcPr>
            <w:tcW w:w="2464" w:type="dxa"/>
          </w:tcPr>
          <w:p w:rsidR="008B14D0" w:rsidRPr="008B14D0" w:rsidRDefault="008B14D0" w:rsidP="008B14D0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Обеспечение </w:t>
            </w:r>
            <w:r w:rsidRPr="006720F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развити</w:t>
            </w: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я </w:t>
            </w:r>
            <w:r w:rsidRPr="006720F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социальной среды </w:t>
            </w:r>
          </w:p>
        </w:tc>
        <w:tc>
          <w:tcPr>
            <w:tcW w:w="2464" w:type="dxa"/>
          </w:tcPr>
          <w:p w:rsidR="008B14D0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Результат независимой оценки качества образовательной деятельности</w:t>
            </w:r>
          </w:p>
        </w:tc>
        <w:tc>
          <w:tcPr>
            <w:tcW w:w="2464" w:type="dxa"/>
          </w:tcPr>
          <w:p w:rsidR="008B14D0" w:rsidRDefault="008B14D0">
            <w:r w:rsidRPr="00F15AEE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 25.12.2018 г.</w:t>
            </w:r>
          </w:p>
        </w:tc>
        <w:tc>
          <w:tcPr>
            <w:tcW w:w="2464" w:type="dxa"/>
          </w:tcPr>
          <w:p w:rsid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Абнасырова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А.В.</w:t>
            </w:r>
          </w:p>
          <w:p w:rsidR="009A02DD" w:rsidRPr="008B14D0" w:rsidRDefault="009A02DD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Мишина Е.А.</w:t>
            </w:r>
          </w:p>
        </w:tc>
        <w:tc>
          <w:tcPr>
            <w:tcW w:w="4853" w:type="dxa"/>
          </w:tcPr>
          <w:p w:rsidR="009A02DD" w:rsidRDefault="009A02DD" w:rsidP="009A02DD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Совокупное действие компонентов единой воспитательной системы, таких, как влияние личности воспитателя и его деятельности, эффективная организация социальной ситуации развития, личностное и социально-ролевое общение, осуществление </w:t>
            </w:r>
            <w:proofErr w:type="spell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сотрудничества в коллективе, активная  творческая деятельность воспитанников, соотнесенная с особенностями их возрастного развития, создание </w:t>
            </w:r>
            <w:proofErr w:type="spell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образовательного пространства дает положительный воспитательный эффект.</w:t>
            </w:r>
            <w:proofErr w:type="gram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В 201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году отмечается рост качества проводимых мероприятий, уровня взаимодействия, эффективности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воспитательной работы в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целом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родуктивным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в воспитательном смысле явился переход на проектную организацию </w:t>
            </w:r>
            <w:proofErr w:type="spell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деятельности. </w:t>
            </w:r>
            <w:proofErr w:type="gram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Социально-культурные проекты «Школа музыки» (руководители проекта И.Д. </w:t>
            </w:r>
            <w:proofErr w:type="spell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Бабчук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С.Г. </w:t>
            </w:r>
            <w:proofErr w:type="spell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Лалаян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), «Творите музыкой добро» (руководители проекта Н.В. Павленко, Е.Н. </w:t>
            </w:r>
            <w:proofErr w:type="spell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Машковцева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), «Обнимая сердца» (руководитель проекта Э.Ф. Мусин), «Общение без границ» (руководитель проекта ЭФ.</w:t>
            </w:r>
            <w:proofErr w:type="gram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Мусин), «Школа межкультурных коммуникаций» (руководитель проекта А.В. </w:t>
            </w:r>
            <w:proofErr w:type="spell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Абнасырова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), «Парад дирижеров» (руководитель проекта И.А. </w:t>
            </w:r>
            <w:proofErr w:type="spell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Шандурский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А.В. </w:t>
            </w:r>
            <w:proofErr w:type="spell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Абнасырова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) нацелены как на профессиональное, так и на духовно-нравственное  воспитание обучающихся</w:t>
            </w:r>
            <w:proofErr w:type="gramEnd"/>
          </w:p>
          <w:p w:rsidR="008B14D0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Pr="00865C3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http://surgutmusic.ru/upload/iblock/c11/c117b5c99de2f68bbcc349c424190692.pdf</w:t>
              </w:r>
            </w:hyperlink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14D0" w:rsidRPr="008B14D0" w:rsidTr="008B14D0">
        <w:tc>
          <w:tcPr>
            <w:tcW w:w="2464" w:type="dxa"/>
          </w:tcPr>
          <w:p w:rsidR="008B14D0" w:rsidRPr="008B14D0" w:rsidRDefault="008B14D0" w:rsidP="008B14D0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Реализация </w:t>
            </w:r>
            <w:r w:rsidRPr="006720F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дополнительных образовательных программ</w:t>
            </w:r>
          </w:p>
        </w:tc>
        <w:tc>
          <w:tcPr>
            <w:tcW w:w="2464" w:type="dxa"/>
          </w:tcPr>
          <w:p w:rsidR="008B14D0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D0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Результат независимой оценки качества образовательной деятельности</w:t>
            </w:r>
          </w:p>
        </w:tc>
        <w:tc>
          <w:tcPr>
            <w:tcW w:w="2464" w:type="dxa"/>
          </w:tcPr>
          <w:p w:rsidR="008B14D0" w:rsidRDefault="008B14D0">
            <w:r w:rsidRPr="00F15AEE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 25.12.2018 г.</w:t>
            </w:r>
          </w:p>
        </w:tc>
        <w:tc>
          <w:tcPr>
            <w:tcW w:w="2464" w:type="dxa"/>
          </w:tcPr>
          <w:p w:rsidR="008B14D0" w:rsidRPr="008B14D0" w:rsidRDefault="009A02DD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Харитонова Е.А.</w:t>
            </w:r>
          </w:p>
        </w:tc>
        <w:tc>
          <w:tcPr>
            <w:tcW w:w="4853" w:type="dxa"/>
          </w:tcPr>
          <w:p w:rsidR="009A02DD" w:rsidRDefault="009A02DD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музыкальный</w:t>
            </w:r>
            <w:proofErr w:type="gramEnd"/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реализует дополнительные профессиональные образовательные программы для </w:t>
            </w:r>
            <w:r w:rsidRPr="009A02DD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педагогических работников отрасли культуры и искусства Ханты-Мансийского автономного округа – Югры, Ямало-Ненецкого автономного округа, Уральского федерального округа с 2009 года. За 8 лет организации и проведения программ повышения квалификации, обучение прошли 682 слушателя. За последние пять лет (2013-2017) - 512 слушателей. В 2017 году, юбилейном для колледжа, обучение прошли 115 слушателей из 3 субъектов РФ: Ханты-Мансийского автономного округа - Югры, Ямало-Ненецкого автономного округа, Томской области.</w:t>
            </w:r>
          </w:p>
          <w:p w:rsidR="008B14D0" w:rsidRPr="008B14D0" w:rsidRDefault="008B14D0" w:rsidP="006720FF">
            <w:pPr>
              <w:spacing w:after="150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865C3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http://surgutmusic.ru/about/education/additional/</w:t>
              </w:r>
            </w:hyperlink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C5B3F" w:rsidRPr="008B14D0" w:rsidRDefault="000C5B3F" w:rsidP="006720F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0C5B3F" w:rsidRPr="008B14D0" w:rsidRDefault="000C5B3F" w:rsidP="006720F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B174D" w:rsidRPr="008B14D0" w:rsidRDefault="009A02DD" w:rsidP="009A02DD">
      <w:pPr>
        <w:jc w:val="right"/>
        <w:rPr>
          <w:rFonts w:cs="Times New Roman"/>
        </w:rPr>
      </w:pPr>
      <w:r>
        <w:rPr>
          <w:rFonts w:cs="Times New Roman"/>
        </w:rPr>
        <w:t xml:space="preserve">Директор                                                                       </w:t>
      </w:r>
      <w:bookmarkStart w:id="0" w:name="_GoBack"/>
      <w:bookmarkEnd w:id="0"/>
      <w:r>
        <w:rPr>
          <w:rFonts w:cs="Times New Roman"/>
        </w:rPr>
        <w:t xml:space="preserve">Л.В. </w:t>
      </w:r>
      <w:proofErr w:type="spellStart"/>
      <w:r>
        <w:rPr>
          <w:rFonts w:cs="Times New Roman"/>
        </w:rPr>
        <w:t>Яруллина</w:t>
      </w:r>
      <w:proofErr w:type="spellEnd"/>
    </w:p>
    <w:sectPr w:rsidR="004B174D" w:rsidRPr="008B14D0" w:rsidSect="000C5B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FF"/>
    <w:rsid w:val="000C5B3F"/>
    <w:rsid w:val="006720FF"/>
    <w:rsid w:val="008B14D0"/>
    <w:rsid w:val="009A02DD"/>
    <w:rsid w:val="009F071D"/>
    <w:rsid w:val="00D4357B"/>
    <w:rsid w:val="00D65E72"/>
    <w:rsid w:val="00E42249"/>
    <w:rsid w:val="00E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1D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F07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1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C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1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1D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F07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1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C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1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utmusic.ru/upload/iblock/c11/c117b5c99de2f68bbcc349c42419069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gutmusic.ru/upload/iblock/287/28729fb0332a35ab4e38497cc6617ed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rgutmusic.ru/upload/iblock/50d/50d3968813a2ec6756c12c982920d35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rgutmusic.ru/upload/iblock/b45/b45e8e8cc2a726d5f6390826ffd568a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rgutmusic.ru/about/education/additi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Чугаевская Оксана</dc:creator>
  <cp:lastModifiedBy>Чугаевская Оксана</cp:lastModifiedBy>
  <cp:revision>2</cp:revision>
  <dcterms:created xsi:type="dcterms:W3CDTF">2019-02-13T11:07:00Z</dcterms:created>
  <dcterms:modified xsi:type="dcterms:W3CDTF">2019-02-13T11:07:00Z</dcterms:modified>
</cp:coreProperties>
</file>